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《</w:t>
      </w:r>
      <w:bookmarkStart w:id="0" w:name="_Hlk100169941"/>
      <w:bookmarkEnd w:id="0"/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仿宋"/>
          <w:sz w:val="28"/>
          <w:szCs w:val="28"/>
        </w:rPr>
        <w:t>》</w:t>
      </w:r>
      <w:r>
        <w:rPr>
          <w:rFonts w:ascii="Times New Roman" w:hAnsi="Times New Roman" w:eastAsia="仿宋"/>
          <w:sz w:val="28"/>
          <w:szCs w:val="28"/>
        </w:rPr>
        <w:t>课程目标达成评价</w:t>
      </w:r>
      <w:r>
        <w:rPr>
          <w:rFonts w:hint="eastAsia" w:ascii="Times New Roman" w:hAnsi="Times New Roman" w:eastAsia="仿宋"/>
          <w:sz w:val="28"/>
          <w:szCs w:val="28"/>
        </w:rPr>
        <w:t>表</w:t>
      </w:r>
    </w:p>
    <w:p>
      <w:pPr>
        <w:jc w:val="center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（</w:t>
      </w:r>
      <w:r>
        <w:rPr>
          <w:rFonts w:hint="eastAsia" w:ascii="Times New Roman" w:hAnsi="Times New Roman" w:eastAsia="仿宋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仿宋"/>
          <w:sz w:val="24"/>
          <w:szCs w:val="24"/>
        </w:rPr>
        <w:t>学年 第</w:t>
      </w:r>
      <w:r>
        <w:rPr>
          <w:rFonts w:hint="eastAsia" w:ascii="Times New Roman" w:hAnsi="Times New Roman" w:eastAsia="仿宋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仿宋"/>
          <w:sz w:val="24"/>
          <w:szCs w:val="24"/>
        </w:rPr>
        <w:t>学期）</w:t>
      </w:r>
    </w:p>
    <w:tbl>
      <w:tblPr>
        <w:tblStyle w:val="9"/>
        <w:tblW w:w="106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78"/>
        <w:gridCol w:w="1311"/>
        <w:gridCol w:w="1222"/>
        <w:gridCol w:w="336"/>
        <w:gridCol w:w="33"/>
        <w:gridCol w:w="1170"/>
        <w:gridCol w:w="421"/>
        <w:gridCol w:w="166"/>
        <w:gridCol w:w="1224"/>
        <w:gridCol w:w="201"/>
        <w:gridCol w:w="758"/>
        <w:gridCol w:w="175"/>
        <w:gridCol w:w="658"/>
        <w:gridCol w:w="337"/>
        <w:gridCol w:w="12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2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课程名称</w:t>
            </w:r>
          </w:p>
        </w:tc>
        <w:tc>
          <w:tcPr>
            <w:tcW w:w="2869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课程类型</w:t>
            </w:r>
          </w:p>
        </w:tc>
        <w:tc>
          <w:tcPr>
            <w:tcW w:w="2770" w:type="dxa"/>
            <w:gridSpan w:val="5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学生班级</w:t>
            </w:r>
          </w:p>
        </w:tc>
        <w:tc>
          <w:tcPr>
            <w:tcW w:w="125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2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>考核方式</w:t>
            </w:r>
          </w:p>
        </w:tc>
        <w:tc>
          <w:tcPr>
            <w:tcW w:w="6842" w:type="dxa"/>
            <w:gridSpan w:val="10"/>
            <w:vAlign w:val="center"/>
          </w:tcPr>
          <w:p>
            <w:pPr>
              <w:ind w:left="-105" w:leftChars="-50" w:right="-105" w:rightChars="-50"/>
              <w:jc w:val="left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>抽样人数</w:t>
            </w:r>
          </w:p>
        </w:tc>
        <w:tc>
          <w:tcPr>
            <w:tcW w:w="125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3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命题范围、内容与教学大纲要求</w:t>
            </w:r>
          </w:p>
        </w:tc>
        <w:tc>
          <w:tcPr>
            <w:tcW w:w="7958" w:type="dxa"/>
            <w:gridSpan w:val="13"/>
            <w:vAlign w:val="center"/>
          </w:tcPr>
          <w:p>
            <w:pPr>
              <w:ind w:right="-105" w:rightChars="-50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符合（√ ） 基本符合（   ）不符合（ 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>考试结果</w:t>
            </w:r>
          </w:p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>状况分析</w:t>
            </w:r>
          </w:p>
        </w:tc>
        <w:tc>
          <w:tcPr>
            <w:tcW w:w="9547" w:type="dxa"/>
            <w:gridSpan w:val="15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21"/>
              </w:rPr>
              <w:t>课程总评成绩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最高分</w:t>
            </w:r>
          </w:p>
        </w:tc>
        <w:tc>
          <w:tcPr>
            <w:tcW w:w="1591" w:type="dxa"/>
            <w:gridSpan w:val="3"/>
            <w:vAlign w:val="bottom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最低分</w:t>
            </w: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平均分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成绩分布</w:t>
            </w: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90~100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80~89</w:t>
            </w: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70~79</w:t>
            </w: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60~69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≤59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占比</w:t>
            </w: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Times New Roman" w:hAnsi="Times New Roman" w:eastAsia="仿宋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人数</w:t>
            </w: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591" w:type="dxa"/>
            <w:gridSpan w:val="3"/>
            <w:vAlign w:val="center"/>
          </w:tcPr>
          <w:p>
            <w:pPr>
              <w:spacing w:line="360" w:lineRule="auto"/>
              <w:ind w:right="-105" w:rightChars="-50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ind w:right="-105" w:rightChars="-50"/>
              <w:rPr>
                <w:rFonts w:ascii="仿宋" w:hAnsi="仿宋" w:eastAsia="仿宋" w:cs="仿宋"/>
                <w:sz w:val="18"/>
                <w:szCs w:val="18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81" w:type="dxa"/>
            <w:gridSpan w:val="16"/>
            <w:vAlign w:val="center"/>
          </w:tcPr>
          <w:p>
            <w:pPr>
              <w:ind w:left="-105" w:leftChars="-50" w:right="-105" w:rightChars="-50" w:firstLine="90" w:firstLineChars="50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1、</w:t>
            </w:r>
            <w:r>
              <w:rPr>
                <w:rFonts w:eastAsia="仿宋"/>
                <w:sz w:val="18"/>
                <w:szCs w:val="18"/>
              </w:rPr>
              <w:t>课程目标达成</w:t>
            </w:r>
            <w:r>
              <w:rPr>
                <w:rFonts w:hint="eastAsia" w:eastAsia="仿宋"/>
                <w:sz w:val="18"/>
                <w:szCs w:val="18"/>
              </w:rPr>
              <w:t>评价计算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  <w:jc w:val="center"/>
        </w:trPr>
        <w:tc>
          <w:tcPr>
            <w:tcW w:w="394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课程目标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评价依据及方式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评价内容的</w:t>
            </w:r>
          </w:p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目标分值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评价内容的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平均成绩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评价内容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的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达成值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>课程目标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达成度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restart"/>
            <w:vAlign w:val="center"/>
          </w:tcPr>
          <w:p>
            <w:r>
              <w:rPr>
                <w:rFonts w:hint="eastAsia" w:ascii="仿宋" w:hAnsi="仿宋" w:eastAsia="仿宋" w:cs="仿宋"/>
                <w:sz w:val="18"/>
              </w:rPr>
              <w:t>课程目标 1：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具有图像评述、美术表现、审美判断、创意实践等美术学科素养；掌握美术学科发展动态，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Hans"/>
              </w:rPr>
              <w:t>拓宽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中学美术教育知识体系、基本思想和方法。</w:t>
            </w:r>
          </w:p>
        </w:tc>
        <w:tc>
          <w:tcPr>
            <w:tcW w:w="2126" w:type="dxa"/>
            <w:gridSpan w:val="5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课堂表现(占20.0%)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restart"/>
            <w:vAlign w:val="center"/>
          </w:tcPr>
          <w:p>
            <w:pPr>
              <w:rPr>
                <w:rFonts w:eastAsia="仿宋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课程目标1:了解美的形式和内容、美的形态；美感的本质特征、美感的心理因素、美感的差异性、普遍性以及自然美、社会美、艺术美的欣赏等内容。</w:t>
            </w:r>
          </w:p>
        </w:tc>
        <w:tc>
          <w:tcPr>
            <w:tcW w:w="2126" w:type="dxa"/>
            <w:gridSpan w:val="5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课后作业(占</w:t>
            </w:r>
            <w:r>
              <w:rPr>
                <w:rFonts w:hint="eastAsia" w:ascii="仿宋" w:hAnsi="仿宋" w:eastAsia="仿宋" w:cs="仿宋"/>
                <w:sz w:val="18"/>
              </w:rPr>
              <w:t>20</w:t>
            </w:r>
            <w:r>
              <w:rPr>
                <w:rFonts w:ascii="仿宋" w:hAnsi="仿宋" w:eastAsia="仿宋" w:cs="仿宋"/>
                <w:sz w:val="18"/>
              </w:rPr>
              <w:t>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课程目标1:了解美的形式和内容、美的形态；美感的本质特征、美感的心理因素、美感的差异性、普遍性以及自然美、社会美、艺术美的欣赏等内容。</w:t>
            </w:r>
          </w:p>
        </w:tc>
        <w:tc>
          <w:tcPr>
            <w:tcW w:w="2126" w:type="dxa"/>
            <w:gridSpan w:val="5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期末考试(占60.0%)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restart"/>
            <w:vAlign w:val="center"/>
          </w:tcPr>
          <w:p>
            <w:pPr>
              <w:rPr>
                <w:rFonts w:eastAsia="仿宋"/>
              </w:rPr>
            </w:pPr>
            <w:r>
              <w:rPr>
                <w:rFonts w:hint="eastAsia" w:ascii="仿宋" w:hAnsi="仿宋" w:eastAsia="仿宋" w:cs="仿宋"/>
                <w:sz w:val="18"/>
              </w:rPr>
              <w:t>课程目标 2：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结合本课程的学科特点，达到中学美术教学设计技能和教学能力，掌握一定的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Hans"/>
              </w:rPr>
              <w:t>陶瓷造型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知识及一般规律，以美术审美感知为主线，以美术赏析和美术表现为主要形式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。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能够选择恰当的教学方式有效实施教学并组织课外教学活动。</w:t>
            </w:r>
          </w:p>
        </w:tc>
        <w:tc>
          <w:tcPr>
            <w:tcW w:w="2126" w:type="dxa"/>
            <w:gridSpan w:val="5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课堂表现(占</w:t>
            </w:r>
            <w:r>
              <w:rPr>
                <w:rFonts w:hint="eastAsia" w:ascii="仿宋" w:hAnsi="仿宋" w:eastAsia="仿宋" w:cs="仿宋"/>
                <w:sz w:val="18"/>
              </w:rPr>
              <w:t>1</w:t>
            </w:r>
            <w:r>
              <w:rPr>
                <w:rFonts w:ascii="仿宋" w:hAnsi="仿宋" w:eastAsia="仿宋" w:cs="仿宋"/>
                <w:sz w:val="18"/>
              </w:rPr>
              <w:t>5.0%)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restart"/>
            <w:vAlign w:val="center"/>
          </w:tcPr>
          <w:p>
            <w:pPr>
              <w:rPr>
                <w:rFonts w:eastAsia="仿宋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课程目标2:掌握中西方美学基本思想，将美学的基本理论运用到具体的美术作品的赏析和评鉴中，学会运用美学的基本方法指导实践创作和实践教学。</w:t>
            </w:r>
          </w:p>
        </w:tc>
        <w:tc>
          <w:tcPr>
            <w:tcW w:w="2126" w:type="dxa"/>
            <w:gridSpan w:val="5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课后作业(占30.0%)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课程目标2:掌握中西方美学基本思想，将美学的基本理论运用到具体的美术作品的赏析和评鉴中，学会运用美学的基本方法指导实践创作和实践教学。</w:t>
            </w:r>
          </w:p>
        </w:tc>
        <w:tc>
          <w:tcPr>
            <w:tcW w:w="2126" w:type="dxa"/>
            <w:gridSpan w:val="5"/>
            <w:vAlign w:val="center"/>
          </w:tcPr>
          <w:p>
            <w:r>
              <w:rPr>
                <w:rFonts w:ascii="仿宋" w:hAnsi="仿宋" w:eastAsia="仿宋" w:cs="仿宋"/>
                <w:sz w:val="18"/>
              </w:rPr>
              <w:t>期末考试(占55.0%)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hint="eastAsia" w:ascii="仿宋" w:hAnsi="仿宋" w:eastAsia="仿宋" w:cs="仿宋"/>
                <w:sz w:val="18"/>
              </w:rPr>
              <w:t>课程目标 3：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发挥本课程以美育人和立德树人的学科优势，掌握美术学科育人的方法，能够以情感人、以美育人、以文化人，通过优秀的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Hans"/>
              </w:rPr>
              <w:t>陶瓷造型艺术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作品丰富情感体验、激励精神、温润心灵，树立积极乐观的人生态度，帮助学生获得审美感知、艺术表现、文化理解三方面综合育人的体验。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ascii="仿宋" w:hAnsi="仿宋" w:eastAsia="仿宋" w:cs="仿宋"/>
                <w:sz w:val="18"/>
              </w:rPr>
              <w:t>课堂表现(占30.0%)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ascii="仿宋" w:hAnsi="仿宋" w:eastAsia="仿宋" w:cs="仿宋"/>
                <w:sz w:val="18"/>
              </w:rPr>
              <w:t>课后作业(占50.0%)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ascii="仿宋" w:hAnsi="仿宋" w:eastAsia="仿宋" w:cs="仿宋"/>
                <w:sz w:val="18"/>
              </w:rPr>
              <w:t>期末考试(占20.0%)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课程目标4：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了解美术教学课程育人价值，理解并掌握中学生身心发展和养成教育规律，引导和教育学生树立正确的审美观；理解基础教育阶段校园文化和教育活动的育人内涵和方法，具有在组织或参与主题教育、社团活动、艺术实践活动中开展综合育人活动的能力。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ascii="仿宋" w:hAnsi="仿宋" w:eastAsia="仿宋" w:cs="仿宋"/>
                <w:sz w:val="18"/>
              </w:rPr>
              <w:t>课堂表现(占</w:t>
            </w:r>
            <w:r>
              <w:rPr>
                <w:rFonts w:hint="eastAsia" w:ascii="仿宋" w:hAnsi="仿宋" w:eastAsia="仿宋" w:cs="仿宋"/>
                <w:sz w:val="18"/>
              </w:rPr>
              <w:t>20</w:t>
            </w:r>
            <w:r>
              <w:rPr>
                <w:rFonts w:ascii="仿宋" w:hAnsi="仿宋" w:eastAsia="仿宋" w:cs="仿宋"/>
                <w:sz w:val="18"/>
              </w:rPr>
              <w:t>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ascii="仿宋" w:hAnsi="仿宋" w:eastAsia="仿宋" w:cs="仿宋"/>
                <w:sz w:val="18"/>
              </w:rPr>
              <w:t>课后作业(占25.0%)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5" w:type="dxa"/>
            <w:gridSpan w:val="4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  <w:r>
              <w:rPr>
                <w:rFonts w:ascii="仿宋" w:hAnsi="仿宋" w:eastAsia="仿宋" w:cs="仿宋"/>
                <w:sz w:val="18"/>
              </w:rPr>
              <w:t>期末考试(占55.0%)</w:t>
            </w:r>
          </w:p>
        </w:tc>
        <w:tc>
          <w:tcPr>
            <w:tcW w:w="1224" w:type="dxa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  <w:tc>
          <w:tcPr>
            <w:tcW w:w="125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81" w:type="dxa"/>
            <w:gridSpan w:val="16"/>
            <w:vAlign w:val="center"/>
          </w:tcPr>
          <w:p>
            <w:pPr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2、课程目标达成情况分析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  <w:jc w:val="center"/>
        </w:trPr>
        <w:tc>
          <w:tcPr>
            <w:tcW w:w="10681" w:type="dxa"/>
            <w:gridSpan w:val="16"/>
            <w:vAlign w:val="center"/>
          </w:tcPr>
          <w:p>
            <w:pPr>
              <w:rPr>
                <w:rFonts w:ascii="Times New Roman" w:hAnsi="Times New Roman" w:eastAsia="仿宋"/>
                <w:b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sz w:val="18"/>
                <w:szCs w:val="18"/>
              </w:rPr>
              <w:t>（1）</w:t>
            </w:r>
            <w:r>
              <w:rPr>
                <w:rFonts w:hint="eastAsia" w:ascii="Times New Roman" w:hAnsi="Times New Roman" w:eastAsia="仿宋"/>
                <w:b/>
                <w:sz w:val="18"/>
                <w:szCs w:val="18"/>
              </w:rPr>
              <w:t>学生</w:t>
            </w:r>
            <w:r>
              <w:rPr>
                <w:rFonts w:ascii="Times New Roman" w:hAnsi="Times New Roman" w:eastAsia="仿宋"/>
                <w:b/>
                <w:sz w:val="18"/>
                <w:szCs w:val="18"/>
              </w:rPr>
              <w:t>总体达成</w:t>
            </w:r>
            <w:r>
              <w:rPr>
                <w:rFonts w:hint="eastAsia" w:ascii="Times New Roman" w:hAnsi="Times New Roman" w:eastAsia="仿宋"/>
                <w:b/>
                <w:sz w:val="18"/>
                <w:szCs w:val="18"/>
              </w:rPr>
              <w:t>情况</w:t>
            </w:r>
            <w:r>
              <w:rPr>
                <w:rFonts w:ascii="Times New Roman" w:hAnsi="Times New Roman" w:eastAsia="仿宋"/>
                <w:b/>
                <w:sz w:val="18"/>
                <w:szCs w:val="18"/>
              </w:rPr>
              <w:t>评价</w:t>
            </w:r>
          </w:p>
          <w:p>
            <w:pPr>
              <w:ind w:firstLine="420" w:firstLineChars="200"/>
              <w:jc w:val="center"/>
            </w:pPr>
          </w:p>
          <w:p>
            <w:pPr>
              <w:ind w:firstLine="420" w:firstLineChars="20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drawing>
                <wp:inline distT="0" distB="0" distL="0" distR="0">
                  <wp:extent cx="5148580" cy="3376930"/>
                  <wp:effectExtent l="0" t="0" r="7620" b="13970"/>
                  <wp:docPr id="620391490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  <w:p>
            <w:pPr>
              <w:ind w:firstLine="360" w:firstLineChars="200"/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图1 课程目标达成评价情况</w:t>
            </w:r>
          </w:p>
          <w:p>
            <w:pPr>
              <w:ind w:firstLine="360" w:firstLineChars="200"/>
              <w:rPr>
                <w:rFonts w:ascii="仿宋" w:hAnsi="仿宋" w:eastAsia="仿宋" w:cs="仿宋"/>
                <w:sz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>如上图所示，本课程所有课程目标均达到或超过设定的目标期望值，课程教学基本达成了预期目标这主要得益于：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  <w:lang w:eastAsia="zh-Hans"/>
              </w:rPr>
              <w:t>师生教学态度积极认真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  <w:lang w:eastAsia="zh-Hans"/>
              </w:rPr>
              <w:t>，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  <w:lang w:eastAsia="zh-Hans"/>
              </w:rPr>
              <w:t>相互配合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  <w:lang w:eastAsia="zh-Hans"/>
              </w:rPr>
              <w:t>。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  <w:lang w:eastAsia="zh-Hans"/>
              </w:rPr>
              <w:t>另外可以看出课程进度安排合理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  <w:lang w:eastAsia="zh-Hans"/>
              </w:rPr>
              <w:t>，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  <w:lang w:eastAsia="zh-Hans"/>
              </w:rPr>
              <w:t>能够循序渐进的掌握课程相关知识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  <w:lang w:eastAsia="zh-Hans"/>
              </w:rPr>
              <w:t>。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br w:type="textWrapping"/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其中课程目标1达成值最高，达成值为0.8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，整体达成情况良好，说明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</w:rPr>
              <w:t>陶瓷造型能力得到提高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>、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</w:rPr>
              <w:t>审美认知能力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>、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</w:rPr>
              <w:t>观察及想象能力得到加强。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  <w:lang w:eastAsia="zh-Hans"/>
              </w:rPr>
              <w:t>锻炼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</w:rPr>
              <w:t>独立思考能力以及务本求真、钻研进取、勤奋创新的学习态度。</w:t>
            </w:r>
          </w:p>
          <w:p>
            <w:pPr>
              <w:rPr>
                <w:rFonts w:ascii="Times New Roman" w:hAnsi="Times New Roman" w:eastAsia="仿宋"/>
                <w:sz w:val="18"/>
                <w:szCs w:val="18"/>
                <w:u w:val="single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>课程目标2达成值相对较低，达成值为0.8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0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，说明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</w:rPr>
              <w:t>学生创造力和基础造型能力得到提高，掌握理性和感性相结合的设计方法，拓展设计思维，为专业设计。</w:t>
            </w:r>
          </w:p>
          <w:p>
            <w:pPr>
              <w:rPr>
                <w:rFonts w:ascii="Times New Roman" w:hAnsi="Times New Roman" w:eastAsia="仿宋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eastAsia="仿宋"/>
                <w:b/>
                <w:sz w:val="18"/>
                <w:szCs w:val="18"/>
                <w:u w:val="single"/>
              </w:rPr>
              <w:t>（</w:t>
            </w:r>
            <w:r>
              <w:rPr>
                <w:rFonts w:hint="eastAsia" w:ascii="Times New Roman" w:hAnsi="Times New Roman" w:eastAsia="仿宋"/>
                <w:b/>
                <w:sz w:val="18"/>
                <w:szCs w:val="18"/>
                <w:u w:val="single"/>
              </w:rPr>
              <w:t>2</w:t>
            </w:r>
            <w:r>
              <w:rPr>
                <w:rFonts w:ascii="Times New Roman" w:hAnsi="Times New Roman" w:eastAsia="仿宋"/>
                <w:b/>
                <w:sz w:val="18"/>
                <w:szCs w:val="18"/>
                <w:u w:val="single"/>
              </w:rPr>
              <w:t>）学生个体达成情况评价</w:t>
            </w:r>
          </w:p>
          <w:p>
            <w:pPr>
              <w:jc w:val="center"/>
              <w:rPr>
                <w:rFonts w:ascii="Times New Roman" w:hAnsi="Times New Roman" w:eastAsia="仿宋"/>
                <w:b/>
                <w:sz w:val="18"/>
                <w:szCs w:val="18"/>
              </w:rPr>
            </w:pPr>
            <w:r>
              <w:drawing>
                <wp:inline distT="0" distB="0" distL="0" distR="0">
                  <wp:extent cx="5135880" cy="2386965"/>
                  <wp:effectExtent l="0" t="0" r="7620" b="13335"/>
                  <wp:docPr id="313092358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图2 课程目标1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学生个体达成情况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散点图</w:t>
            </w:r>
          </w:p>
          <w:p>
            <w:pPr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"/>
                <w:sz w:val="18"/>
                <w:szCs w:val="18"/>
              </w:rPr>
              <w:t xml:space="preserve">  </w:t>
            </w:r>
            <w:r>
              <w:rPr>
                <w:rFonts w:ascii="仿宋" w:hAnsi="仿宋" w:eastAsia="仿宋"/>
                <w:bCs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/>
                <w:sz w:val="18"/>
              </w:rPr>
              <w:t>从上图看课程目标1个体学生达成情况，可以看出学生个体达成情况优秀，总体达成率为</w:t>
            </w:r>
            <w:r>
              <w:rPr>
                <w:rFonts w:hint="eastAsia" w:ascii="仿宋" w:hAnsi="仿宋" w:eastAsia="仿宋"/>
                <w:sz w:val="18"/>
              </w:rPr>
              <w:t>100</w:t>
            </w:r>
            <w:r>
              <w:rPr>
                <w:rFonts w:ascii="仿宋" w:hAnsi="仿宋" w:eastAsia="仿宋"/>
                <w:sz w:val="18"/>
              </w:rPr>
              <w:t>%；</w:t>
            </w:r>
          </w:p>
          <w:p>
            <w:pPr>
              <w:jc w:val="center"/>
              <w:rPr>
                <w:rFonts w:ascii="Times New Roman" w:hAnsi="Times New Roman" w:eastAsia="仿宋"/>
                <w:b/>
                <w:sz w:val="18"/>
                <w:szCs w:val="18"/>
              </w:rPr>
            </w:pPr>
            <w:r>
              <w:drawing>
                <wp:inline distT="0" distB="0" distL="0" distR="0">
                  <wp:extent cx="5166995" cy="2418080"/>
                  <wp:effectExtent l="0" t="0" r="14605" b="7620"/>
                  <wp:docPr id="1606629251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图3 课程目标2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学生个体达成情况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散点图</w:t>
            </w:r>
          </w:p>
          <w:p>
            <w:pPr>
              <w:ind w:firstLine="360"/>
              <w:rPr>
                <w:rFonts w:ascii="仿宋" w:hAnsi="仿宋" w:eastAsia="仿宋"/>
                <w:sz w:val="18"/>
              </w:rPr>
            </w:pPr>
            <w:r>
              <w:rPr>
                <w:rFonts w:ascii="仿宋" w:hAnsi="仿宋" w:eastAsia="仿宋"/>
                <w:sz w:val="18"/>
              </w:rPr>
              <w:t>从上图看课程目标2个体学生达成情况，可以看出学生个体达成情况优秀，总体达成率为100.0%；</w:t>
            </w:r>
          </w:p>
          <w:p>
            <w:pPr>
              <w:pStyle w:val="2"/>
            </w:pPr>
            <w:r>
              <w:drawing>
                <wp:inline distT="0" distB="0" distL="0" distR="0">
                  <wp:extent cx="5118100" cy="2910840"/>
                  <wp:effectExtent l="0" t="0" r="12700" b="10160"/>
                  <wp:docPr id="520489127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图4 课程目标2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>学生个体达成情况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散点图</w:t>
            </w:r>
          </w:p>
          <w:p>
            <w:pPr>
              <w:ind w:firstLine="360"/>
              <w:rPr>
                <w:rFonts w:ascii="仿宋" w:hAnsi="仿宋" w:eastAsia="仿宋"/>
                <w:sz w:val="18"/>
              </w:rPr>
            </w:pPr>
            <w:r>
              <w:rPr>
                <w:rFonts w:ascii="仿宋" w:hAnsi="仿宋" w:eastAsia="仿宋"/>
                <w:sz w:val="18"/>
              </w:rPr>
              <w:t>从上图看课程目标2个体学生达成情况，可以看出学生个体达成情况优秀，总体达成率为100.0%；</w:t>
            </w:r>
          </w:p>
          <w:p>
            <w:pPr>
              <w:pStyle w:val="2"/>
            </w:pPr>
            <w:r>
              <w:drawing>
                <wp:inline distT="0" distB="0" distL="0" distR="0">
                  <wp:extent cx="5118100" cy="3093720"/>
                  <wp:effectExtent l="0" t="0" r="12700" b="17780"/>
                  <wp:docPr id="2009077026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>
            <w:pPr>
              <w:rPr>
                <w:rFonts w:ascii="Times New Roman" w:hAnsi="Times New Roman" w:eastAsia="仿宋"/>
                <w:sz w:val="18"/>
                <w:szCs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仿宋"/>
                <w:b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sz w:val="18"/>
                <w:szCs w:val="18"/>
              </w:rPr>
              <w:t>存在问题</w:t>
            </w:r>
          </w:p>
          <w:p>
            <w:pPr>
              <w:rPr>
                <w:rFonts w:ascii="Times New Roman" w:hAnsi="Times New Roman" w:eastAsia="仿宋"/>
                <w:b/>
                <w:sz w:val="18"/>
                <w:szCs w:val="18"/>
              </w:rPr>
            </w:pPr>
          </w:p>
          <w:p>
            <w:pPr>
              <w:pStyle w:val="2"/>
              <w:rPr>
                <w:rFonts w:ascii="Times New Roman" w:hAnsi="Times New Roman" w:eastAsia="仿宋"/>
                <w:b/>
                <w:sz w:val="18"/>
                <w:szCs w:val="18"/>
              </w:rPr>
            </w:pPr>
          </w:p>
          <w:p>
            <w:pPr>
              <w:pStyle w:val="2"/>
              <w:rPr>
                <w:rFonts w:ascii="Times New Roman" w:hAnsi="Times New Roman" w:eastAsia="仿宋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  <w:jc w:val="center"/>
        </w:trPr>
        <w:tc>
          <w:tcPr>
            <w:tcW w:w="10681" w:type="dxa"/>
            <w:gridSpan w:val="16"/>
            <w:vAlign w:val="center"/>
          </w:tcPr>
          <w:p>
            <w:pPr>
              <w:rPr>
                <w:rFonts w:ascii="Times New Roman" w:hAnsi="Times New Roman" w:eastAsia="仿宋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3、课程教学质量的持续改进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  <w:jc w:val="center"/>
        </w:trPr>
        <w:tc>
          <w:tcPr>
            <w:tcW w:w="10681" w:type="dxa"/>
            <w:gridSpan w:val="16"/>
            <w:vAlign w:val="center"/>
          </w:tcPr>
          <w:p>
            <w:pPr>
              <w:ind w:firstLine="360" w:firstLineChars="200"/>
              <w:rPr>
                <w:rFonts w:ascii="Times New Roman" w:hAnsi="Times New Roman" w:eastAsia="仿宋"/>
                <w:sz w:val="18"/>
                <w:szCs w:val="18"/>
              </w:rPr>
            </w:pPr>
          </w:p>
          <w:p>
            <w:pPr>
              <w:pStyle w:val="2"/>
              <w:rPr>
                <w:rFonts w:ascii="Times New Roman" w:hAnsi="Times New Roman" w:eastAsia="仿宋"/>
                <w:sz w:val="18"/>
                <w:szCs w:val="18"/>
              </w:rPr>
            </w:pPr>
          </w:p>
          <w:p>
            <w:pPr>
              <w:pStyle w:val="2"/>
              <w:rPr>
                <w:rFonts w:ascii="Times New Roman" w:hAnsi="Times New Roman" w:eastAsia="仿宋"/>
                <w:sz w:val="18"/>
                <w:szCs w:val="18"/>
              </w:rPr>
            </w:pPr>
          </w:p>
          <w:p>
            <w:pPr>
              <w:ind w:firstLine="360" w:firstLineChars="200"/>
              <w:rPr>
                <w:rFonts w:ascii="Times New Roman" w:hAnsi="Times New Roman" w:eastAsia="仿宋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681" w:type="dxa"/>
            <w:gridSpan w:val="16"/>
            <w:vAlign w:val="center"/>
          </w:tcPr>
          <w:p>
            <w:pPr>
              <w:spacing w:before="156" w:beforeLines="50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试卷分析人（签名）：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ascii="Times New Roman" w:hAnsi="Times New Roman" w:eastAsia="仿宋"/>
                <w:sz w:val="18"/>
                <w:szCs w:val="18"/>
              </w:rPr>
              <w:t xml:space="preserve">                  分 析 日 期：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18"/>
                <w:szCs w:val="18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  <w:jc w:val="center"/>
        </w:trPr>
        <w:tc>
          <w:tcPr>
            <w:tcW w:w="10681" w:type="dxa"/>
            <w:gridSpan w:val="16"/>
            <w:vAlign w:val="center"/>
          </w:tcPr>
          <w:p>
            <w:pPr>
              <w:spacing w:before="156" w:beforeLines="50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>系主任（课程负责人）对</w:t>
            </w:r>
            <w:r>
              <w:rPr>
                <w:rFonts w:hint="eastAsia" w:eastAsia="仿宋"/>
                <w:sz w:val="18"/>
                <w:szCs w:val="18"/>
              </w:rPr>
              <w:t>课程目标</w:t>
            </w:r>
            <w:r>
              <w:rPr>
                <w:rFonts w:eastAsia="仿宋"/>
                <w:sz w:val="18"/>
                <w:szCs w:val="18"/>
              </w:rPr>
              <w:t>达成</w:t>
            </w:r>
            <w:r>
              <w:rPr>
                <w:rFonts w:hint="eastAsia" w:eastAsia="仿宋"/>
                <w:sz w:val="18"/>
                <w:szCs w:val="18"/>
              </w:rPr>
              <w:t>评价与</w:t>
            </w:r>
            <w:r>
              <w:rPr>
                <w:rFonts w:eastAsia="仿宋"/>
                <w:sz w:val="18"/>
                <w:szCs w:val="18"/>
              </w:rPr>
              <w:t>分析合理性</w:t>
            </w:r>
            <w:r>
              <w:rPr>
                <w:rFonts w:hint="eastAsia" w:eastAsia="仿宋"/>
                <w:sz w:val="18"/>
                <w:szCs w:val="18"/>
              </w:rPr>
              <w:t>的审核</w:t>
            </w:r>
            <w:r>
              <w:rPr>
                <w:rFonts w:eastAsia="仿宋"/>
                <w:sz w:val="18"/>
                <w:szCs w:val="18"/>
              </w:rPr>
              <w:t>意见：</w:t>
            </w:r>
          </w:p>
          <w:p>
            <w:pPr>
              <w:pStyle w:val="2"/>
            </w:pPr>
            <w:r>
              <w:rPr>
                <w:rFonts w:hint="eastAsia"/>
              </w:rPr>
              <w:t xml:space="preserve">    </w:t>
            </w:r>
          </w:p>
          <w:p>
            <w:pPr>
              <w:spacing w:before="156" w:beforeLines="50"/>
              <w:rPr>
                <w:rFonts w:ascii="Times New Roman" w:hAnsi="Times New Roman" w:eastAsia="仿宋"/>
                <w:sz w:val="18"/>
                <w:szCs w:val="18"/>
              </w:rPr>
            </w:pPr>
          </w:p>
          <w:p>
            <w:pPr>
              <w:spacing w:line="360" w:lineRule="auto"/>
              <w:ind w:firstLine="7020" w:firstLineChars="3900"/>
              <w:rPr>
                <w:rFonts w:ascii="Times New Roman" w:hAnsi="Times New Roman" w:eastAsia="仿宋"/>
                <w:sz w:val="18"/>
                <w:szCs w:val="18"/>
                <w:u w:val="single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>签名：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firstLine="6120" w:firstLineChars="3400"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z w:val="18"/>
                <w:szCs w:val="18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eastAsia="仿宋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eastAsia="仿宋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18"/>
                <w:u w:val="single"/>
              </w:rPr>
              <w:t>年</w:t>
            </w:r>
            <w:r>
              <w:rPr>
                <w:rFonts w:hint="eastAsia"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sz w:val="18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/>
                <w:sz w:val="18"/>
                <w:u w:val="single"/>
              </w:rPr>
              <w:t>月</w:t>
            </w:r>
            <w:r>
              <w:rPr>
                <w:rFonts w:hint="eastAsia" w:ascii="Times New Roman" w:hAnsi="Times New Roman"/>
                <w:sz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u w:val="single"/>
              </w:rPr>
              <w:t>日</w:t>
            </w:r>
            <w:r>
              <w:rPr>
                <w:rFonts w:ascii="Times New Roman" w:hAnsi="Times New Roman" w:eastAsia="仿宋"/>
                <w:sz w:val="18"/>
                <w:szCs w:val="18"/>
                <w:u w:val="single"/>
              </w:rPr>
              <w:t xml:space="preserve"> </w:t>
            </w:r>
          </w:p>
        </w:tc>
      </w:tr>
    </w:tbl>
    <w:p>
      <w:pPr>
        <w:spacing w:line="360" w:lineRule="auto"/>
        <w:rPr>
          <w:rFonts w:ascii="Times New Roman" w:hAnsi="Times New Roman" w:eastAsia="仿宋"/>
          <w:color w:val="FF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5CDC46"/>
    <w:multiLevelType w:val="singleLevel"/>
    <w:tmpl w:val="FE5CDC46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0NTY3OTkyZTk1YjY1YTYzOTI4YTQ2MGIzNDhlNGUifQ=="/>
  </w:docVars>
  <w:rsids>
    <w:rsidRoot w:val="004D0794"/>
    <w:rsid w:val="000233DE"/>
    <w:rsid w:val="00065B2D"/>
    <w:rsid w:val="000A482D"/>
    <w:rsid w:val="000B0CC4"/>
    <w:rsid w:val="000E1C9E"/>
    <w:rsid w:val="00117121"/>
    <w:rsid w:val="00122799"/>
    <w:rsid w:val="001320D7"/>
    <w:rsid w:val="0013322F"/>
    <w:rsid w:val="001377E0"/>
    <w:rsid w:val="00154439"/>
    <w:rsid w:val="00191294"/>
    <w:rsid w:val="001A35C8"/>
    <w:rsid w:val="001D1073"/>
    <w:rsid w:val="0020735E"/>
    <w:rsid w:val="0021244D"/>
    <w:rsid w:val="002223A9"/>
    <w:rsid w:val="00244C57"/>
    <w:rsid w:val="00253B2B"/>
    <w:rsid w:val="00262D01"/>
    <w:rsid w:val="00271A13"/>
    <w:rsid w:val="00294F91"/>
    <w:rsid w:val="002B5A28"/>
    <w:rsid w:val="002C22B7"/>
    <w:rsid w:val="002F5F99"/>
    <w:rsid w:val="00306689"/>
    <w:rsid w:val="00313D3B"/>
    <w:rsid w:val="00326C03"/>
    <w:rsid w:val="00341E94"/>
    <w:rsid w:val="00342B74"/>
    <w:rsid w:val="003D5575"/>
    <w:rsid w:val="003E065A"/>
    <w:rsid w:val="003E5C86"/>
    <w:rsid w:val="004019D6"/>
    <w:rsid w:val="00433331"/>
    <w:rsid w:val="00444D52"/>
    <w:rsid w:val="004575CF"/>
    <w:rsid w:val="004724DF"/>
    <w:rsid w:val="00482A8F"/>
    <w:rsid w:val="00486ED0"/>
    <w:rsid w:val="004A27D1"/>
    <w:rsid w:val="004D0794"/>
    <w:rsid w:val="004D0BAA"/>
    <w:rsid w:val="004F626C"/>
    <w:rsid w:val="00516338"/>
    <w:rsid w:val="00526244"/>
    <w:rsid w:val="00530E83"/>
    <w:rsid w:val="00534CBC"/>
    <w:rsid w:val="00543CB0"/>
    <w:rsid w:val="00544E61"/>
    <w:rsid w:val="005C4414"/>
    <w:rsid w:val="005D3285"/>
    <w:rsid w:val="005F0DAE"/>
    <w:rsid w:val="006008F1"/>
    <w:rsid w:val="0060685E"/>
    <w:rsid w:val="006143D1"/>
    <w:rsid w:val="006656A2"/>
    <w:rsid w:val="006C3D89"/>
    <w:rsid w:val="006F7E6C"/>
    <w:rsid w:val="00702F89"/>
    <w:rsid w:val="00716CBB"/>
    <w:rsid w:val="00721D36"/>
    <w:rsid w:val="00723128"/>
    <w:rsid w:val="0072665C"/>
    <w:rsid w:val="00757E2F"/>
    <w:rsid w:val="007761CB"/>
    <w:rsid w:val="007B68A1"/>
    <w:rsid w:val="007C2110"/>
    <w:rsid w:val="007D0467"/>
    <w:rsid w:val="007D3834"/>
    <w:rsid w:val="007E0A29"/>
    <w:rsid w:val="007E3C4D"/>
    <w:rsid w:val="008122BD"/>
    <w:rsid w:val="00816339"/>
    <w:rsid w:val="008265A6"/>
    <w:rsid w:val="008468B1"/>
    <w:rsid w:val="00854C00"/>
    <w:rsid w:val="008D56A9"/>
    <w:rsid w:val="00912713"/>
    <w:rsid w:val="00920905"/>
    <w:rsid w:val="0092372A"/>
    <w:rsid w:val="00965FE5"/>
    <w:rsid w:val="00974922"/>
    <w:rsid w:val="009A6EE4"/>
    <w:rsid w:val="009B31FD"/>
    <w:rsid w:val="009B6B29"/>
    <w:rsid w:val="00A07EF6"/>
    <w:rsid w:val="00A10F71"/>
    <w:rsid w:val="00A139B5"/>
    <w:rsid w:val="00A2305D"/>
    <w:rsid w:val="00A32080"/>
    <w:rsid w:val="00A415E7"/>
    <w:rsid w:val="00A50FB9"/>
    <w:rsid w:val="00A52975"/>
    <w:rsid w:val="00A86DEE"/>
    <w:rsid w:val="00AA013A"/>
    <w:rsid w:val="00AB0E6F"/>
    <w:rsid w:val="00AB38B9"/>
    <w:rsid w:val="00AE2DDF"/>
    <w:rsid w:val="00AE6FBC"/>
    <w:rsid w:val="00B06B9E"/>
    <w:rsid w:val="00B247D8"/>
    <w:rsid w:val="00B3147B"/>
    <w:rsid w:val="00B330CE"/>
    <w:rsid w:val="00B7561E"/>
    <w:rsid w:val="00B77378"/>
    <w:rsid w:val="00B77537"/>
    <w:rsid w:val="00B838A0"/>
    <w:rsid w:val="00BB59C7"/>
    <w:rsid w:val="00BD5F75"/>
    <w:rsid w:val="00C04A6A"/>
    <w:rsid w:val="00C8309F"/>
    <w:rsid w:val="00CA67FA"/>
    <w:rsid w:val="00CA78FE"/>
    <w:rsid w:val="00CB1332"/>
    <w:rsid w:val="00CB50BE"/>
    <w:rsid w:val="00CC4448"/>
    <w:rsid w:val="00CE41DF"/>
    <w:rsid w:val="00CF1038"/>
    <w:rsid w:val="00CF595E"/>
    <w:rsid w:val="00CF7AE9"/>
    <w:rsid w:val="00D022CC"/>
    <w:rsid w:val="00D10E53"/>
    <w:rsid w:val="00D34836"/>
    <w:rsid w:val="00D52BEC"/>
    <w:rsid w:val="00D80D2C"/>
    <w:rsid w:val="00D92326"/>
    <w:rsid w:val="00DA3CC5"/>
    <w:rsid w:val="00DC0F45"/>
    <w:rsid w:val="00DD25A3"/>
    <w:rsid w:val="00E17B51"/>
    <w:rsid w:val="00E5767B"/>
    <w:rsid w:val="00E67E30"/>
    <w:rsid w:val="00E80F3F"/>
    <w:rsid w:val="00E909D3"/>
    <w:rsid w:val="00E91DF8"/>
    <w:rsid w:val="00E97C3C"/>
    <w:rsid w:val="00EF104F"/>
    <w:rsid w:val="00EF4C5C"/>
    <w:rsid w:val="00F0171F"/>
    <w:rsid w:val="00F05707"/>
    <w:rsid w:val="00F06E24"/>
    <w:rsid w:val="00F176A5"/>
    <w:rsid w:val="00F3149A"/>
    <w:rsid w:val="00F65D4E"/>
    <w:rsid w:val="00F65D51"/>
    <w:rsid w:val="00FB5D88"/>
    <w:rsid w:val="00FD0FA8"/>
    <w:rsid w:val="00FE007A"/>
    <w:rsid w:val="00FF3225"/>
    <w:rsid w:val="00FF7AF8"/>
    <w:rsid w:val="07CE39E8"/>
    <w:rsid w:val="09285EB0"/>
    <w:rsid w:val="12731190"/>
    <w:rsid w:val="136240F4"/>
    <w:rsid w:val="13A26204"/>
    <w:rsid w:val="19A215AC"/>
    <w:rsid w:val="1D247D83"/>
    <w:rsid w:val="249C445C"/>
    <w:rsid w:val="275C4285"/>
    <w:rsid w:val="2B372545"/>
    <w:rsid w:val="3D3B2C34"/>
    <w:rsid w:val="3F011E14"/>
    <w:rsid w:val="408F5298"/>
    <w:rsid w:val="4ADF0C4E"/>
    <w:rsid w:val="4CA54934"/>
    <w:rsid w:val="4E08132D"/>
    <w:rsid w:val="525E3F4E"/>
    <w:rsid w:val="59E45C04"/>
    <w:rsid w:val="5B785C69"/>
    <w:rsid w:val="63C13305"/>
    <w:rsid w:val="64D92558"/>
    <w:rsid w:val="65580853"/>
    <w:rsid w:val="664D42DE"/>
    <w:rsid w:val="67EA3002"/>
    <w:rsid w:val="69FC6283"/>
    <w:rsid w:val="6A0E4B04"/>
    <w:rsid w:val="78AA7849"/>
    <w:rsid w:val="BBEEB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autoRedefine/>
    <w:qFormat/>
    <w:uiPriority w:val="0"/>
    <w:pPr>
      <w:snapToGrid w:val="0"/>
      <w:ind w:firstLine="360"/>
      <w:jc w:val="center"/>
    </w:pPr>
    <w:rPr>
      <w:sz w:val="18"/>
      <w:szCs w:val="18"/>
    </w:rPr>
  </w:style>
  <w:style w:type="paragraph" w:styleId="3">
    <w:name w:val="annotation text"/>
    <w:basedOn w:val="1"/>
    <w:link w:val="15"/>
    <w:autoRedefine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8">
    <w:name w:val="annotation subject"/>
    <w:basedOn w:val="3"/>
    <w:next w:val="3"/>
    <w:link w:val="16"/>
    <w:autoRedefine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6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autoRedefine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4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文字 字符"/>
    <w:basedOn w:val="10"/>
    <w:link w:val="3"/>
    <w:autoRedefine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字符"/>
    <w:basedOn w:val="15"/>
    <w:link w:val="8"/>
    <w:autoRedefine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17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hart" Target="charts/chart5.xml"/><Relationship Id="rId7" Type="http://schemas.openxmlformats.org/officeDocument/2006/relationships/chart" Target="charts/chart4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\\Users\anan\Desktop\(&#26032;&#29256;)&#22235;&#35838;&#31243;&#30446;&#26631;&#28857;&#36798;&#25104;&#24230;&#25253;&#21578;&#33258;&#21160;&#35745;&#31639;&#34920;%20-%20&#21103;&#26412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\\Users\anan\Desktop\(&#26032;&#29256;)&#22235;&#35838;&#31243;&#30446;&#26631;&#28857;&#36798;&#25104;&#24230;&#25253;&#21578;&#33258;&#21160;&#35745;&#31639;&#34920;%20-%20&#21103;&#26412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\\Users\anan\Desktop\(&#26032;&#29256;)&#22235;&#35838;&#31243;&#30446;&#26631;&#28857;&#36798;&#25104;&#24230;&#25253;&#21578;&#33258;&#21160;&#35745;&#31639;&#34920;%20-%20&#21103;&#26412;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oleObject" Target="file:///\\Users\anan\Desktop\(&#26032;&#29256;)&#22235;&#35838;&#31243;&#30446;&#26631;&#28857;&#36798;&#25104;&#24230;&#25253;&#21578;&#33258;&#21160;&#35745;&#31639;&#34920;%20-%20&#21103;&#26412;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\\Users\anan\Desktop\(&#26032;&#29256;)&#22235;&#35838;&#31243;&#30446;&#26631;&#28857;&#36798;&#25104;&#24230;&#25253;&#21578;&#33258;&#21160;&#35745;&#31639;&#34920;%20-%20&#21103;&#2641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1200"/>
              <a:t>整体达成评价情况</a:t>
            </a:r>
            <a:endParaRPr lang="zh-CN" altLang="en-US" sz="1200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达成度计算!$M$10</c:f>
              <c:strCache>
                <c:ptCount val="1"/>
                <c:pt idx="0">
                  <c:v>课程目标达成值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达成度计算!$L$11:$L$14</c:f>
              <c:strCache>
                <c:ptCount val="4"/>
                <c:pt idx="0">
                  <c:v>课程目标 1 </c:v>
                </c:pt>
                <c:pt idx="1">
                  <c:v>课程目标 2 </c:v>
                </c:pt>
                <c:pt idx="2">
                  <c:v>课程目标 3 </c:v>
                </c:pt>
                <c:pt idx="3">
                  <c:v>课程目标 4</c:v>
                </c:pt>
              </c:strCache>
            </c:strRef>
          </c:cat>
          <c:val>
            <c:numRef>
              <c:f>达成度计算!$M$11:$M$14</c:f>
              <c:numCache>
                <c:formatCode>General</c:formatCode>
                <c:ptCount val="4"/>
                <c:pt idx="0">
                  <c:v>0.82</c:v>
                </c:pt>
                <c:pt idx="1">
                  <c:v>0.8</c:v>
                </c:pt>
                <c:pt idx="2">
                  <c:v>0.81</c:v>
                </c:pt>
                <c:pt idx="3">
                  <c:v>0.81</c:v>
                </c:pt>
              </c:numCache>
            </c:numRef>
          </c:val>
        </c:ser>
        <c:ser>
          <c:idx val="1"/>
          <c:order val="1"/>
          <c:tx>
            <c:strRef>
              <c:f>达成度计算!$N$10</c:f>
              <c:strCache>
                <c:ptCount val="1"/>
                <c:pt idx="0">
                  <c:v>课程目标期望值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达成度计算!$L$11:$L$14</c:f>
              <c:strCache>
                <c:ptCount val="4"/>
                <c:pt idx="0">
                  <c:v>课程目标 1 </c:v>
                </c:pt>
                <c:pt idx="1">
                  <c:v>课程目标 2 </c:v>
                </c:pt>
                <c:pt idx="2">
                  <c:v>课程目标 3 </c:v>
                </c:pt>
                <c:pt idx="3">
                  <c:v>课程目标 4</c:v>
                </c:pt>
              </c:strCache>
            </c:strRef>
          </c:cat>
          <c:val>
            <c:numRef>
              <c:f>达成度计算!$N$11:$N$14</c:f>
              <c:numCache>
                <c:formatCode>General</c:formatCode>
                <c:ptCount val="4"/>
                <c:pt idx="0">
                  <c:v>0.7</c:v>
                </c:pt>
                <c:pt idx="1">
                  <c:v>0.7</c:v>
                </c:pt>
                <c:pt idx="2">
                  <c:v>0.7</c:v>
                </c:pt>
                <c:pt idx="3">
                  <c:v>0.7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82053155"/>
        <c:axId val="257543636"/>
      </c:barChart>
      <c:catAx>
        <c:axId val="82053155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57543636"/>
        <c:crosses val="autoZero"/>
        <c:auto val="1"/>
        <c:lblAlgn val="ctr"/>
        <c:lblOffset val="100"/>
        <c:noMultiLvlLbl val="0"/>
      </c:catAx>
      <c:valAx>
        <c:axId val="257543636"/>
        <c:scaling>
          <c:orientation val="minMax"/>
          <c:max val="1"/>
          <c:min val="0.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205315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课程目标</a:t>
            </a:r>
            <a:r>
              <a:rPr lang="en-US" altLang="zh-CN"/>
              <a:t>1</a:t>
            </a:r>
            <a:r>
              <a:rPr lang="zh-CN" altLang="en-US"/>
              <a:t>达成分布图（定量分析）</a:t>
            </a:r>
            <a:endParaRPr lang="zh-CN" altLang="en-US"/>
          </a:p>
        </c:rich>
      </c:tx>
      <c:layout>
        <c:manualLayout>
          <c:xMode val="edge"/>
          <c:yMode val="edge"/>
          <c:x val="0.208231415323001"/>
          <c:y val="0.0229719863999499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yVal>
            <c:numRef>
              <c:f>达成度计算!$K$22:$K$51</c:f>
              <c:numCache>
                <c:formatCode>0.00_ </c:formatCode>
                <c:ptCount val="30"/>
                <c:pt idx="0">
                  <c:v>0.896</c:v>
                </c:pt>
                <c:pt idx="1">
                  <c:v>0.894</c:v>
                </c:pt>
                <c:pt idx="2">
                  <c:v>0.856</c:v>
                </c:pt>
                <c:pt idx="3">
                  <c:v>0.91</c:v>
                </c:pt>
                <c:pt idx="4">
                  <c:v>0.87</c:v>
                </c:pt>
                <c:pt idx="5">
                  <c:v>0.942</c:v>
                </c:pt>
                <c:pt idx="6">
                  <c:v>0.8</c:v>
                </c:pt>
                <c:pt idx="7">
                  <c:v>0.824</c:v>
                </c:pt>
                <c:pt idx="8">
                  <c:v>0.808</c:v>
                </c:pt>
                <c:pt idx="9">
                  <c:v>0.806</c:v>
                </c:pt>
                <c:pt idx="10">
                  <c:v>0.822</c:v>
                </c:pt>
                <c:pt idx="11">
                  <c:v>0.85</c:v>
                </c:pt>
                <c:pt idx="12">
                  <c:v>0.886</c:v>
                </c:pt>
                <c:pt idx="13">
                  <c:v>0.796</c:v>
                </c:pt>
                <c:pt idx="14">
                  <c:v>0.806</c:v>
                </c:pt>
                <c:pt idx="15">
                  <c:v>0.832</c:v>
                </c:pt>
                <c:pt idx="16">
                  <c:v>0.78</c:v>
                </c:pt>
                <c:pt idx="17">
                  <c:v>0.914</c:v>
                </c:pt>
                <c:pt idx="18">
                  <c:v>0.912</c:v>
                </c:pt>
                <c:pt idx="19">
                  <c:v>0.902</c:v>
                </c:pt>
                <c:pt idx="20">
                  <c:v>0.966</c:v>
                </c:pt>
                <c:pt idx="21">
                  <c:v>0.938</c:v>
                </c:pt>
                <c:pt idx="22">
                  <c:v>0.948</c:v>
                </c:pt>
                <c:pt idx="23">
                  <c:v>0</c:v>
                </c:pt>
                <c:pt idx="24">
                  <c:v>0.88</c:v>
                </c:pt>
                <c:pt idx="25">
                  <c:v>0.92</c:v>
                </c:pt>
                <c:pt idx="26">
                  <c:v>0.824</c:v>
                </c:pt>
                <c:pt idx="27">
                  <c:v>0.904</c:v>
                </c:pt>
                <c:pt idx="28">
                  <c:v>0.838</c:v>
                </c:pt>
                <c:pt idx="29">
                  <c:v>0.91</c:v>
                </c:pt>
              </c:numCache>
            </c:numRef>
          </c:yVal>
          <c:smooth val="0"/>
        </c:ser>
        <c:ser>
          <c:idx val="1"/>
          <c:order val="1"/>
          <c:spPr>
            <a:ln w="28575" cap="rnd" cmpd="sng">
              <a:solidFill>
                <a:schemeClr val="accent6">
                  <a:lumMod val="75000"/>
                </a:schemeClr>
              </a:solidFill>
              <a:prstDash val="solid"/>
              <a:round/>
            </a:ln>
            <a:effectLst>
              <a:outerShdw blurRad="88900" dist="50800" dir="5400000" sx="45000" sy="45000" algn="ctr" rotWithShape="0">
                <a:schemeClr val="bg1">
                  <a:alpha val="0"/>
                </a:schemeClr>
              </a:outerShdw>
            </a:effectLst>
          </c:spPr>
          <c:marker>
            <c:symbol val="circle"/>
            <c:size val="5"/>
            <c:spPr>
              <a:solidFill>
                <a:schemeClr val="accent6">
                  <a:lumMod val="75000"/>
                </a:schemeClr>
              </a:solidFill>
              <a:ln w="9525">
                <a:solidFill>
                  <a:schemeClr val="accent2"/>
                </a:solidFill>
              </a:ln>
              <a:effectLst>
                <a:outerShdw blurRad="88900" dist="50800" dir="5400000" sx="45000" sy="45000" algn="ctr" rotWithShape="0">
                  <a:schemeClr val="bg1">
                    <a:alpha val="0"/>
                  </a:schemeClr>
                </a:outerShdw>
              </a:effectLst>
            </c:spPr>
          </c:marker>
          <c:dLbls>
            <c:delete val="1"/>
          </c:dLbls>
          <c:yVal>
            <c:numRef>
              <c:f>达成度计算!$O$22:$O$51</c:f>
              <c:numCache>
                <c:formatCode>General</c:formatCode>
                <c:ptCount val="30"/>
                <c:pt idx="0">
                  <c:v>0.7</c:v>
                </c:pt>
                <c:pt idx="1">
                  <c:v>0.7</c:v>
                </c:pt>
                <c:pt idx="2">
                  <c:v>0.7</c:v>
                </c:pt>
                <c:pt idx="3">
                  <c:v>0.7</c:v>
                </c:pt>
                <c:pt idx="4">
                  <c:v>0.7</c:v>
                </c:pt>
                <c:pt idx="5">
                  <c:v>0.7</c:v>
                </c:pt>
                <c:pt idx="6">
                  <c:v>0.7</c:v>
                </c:pt>
                <c:pt idx="7">
                  <c:v>0.7</c:v>
                </c:pt>
                <c:pt idx="8">
                  <c:v>0.7</c:v>
                </c:pt>
                <c:pt idx="9">
                  <c:v>0.7</c:v>
                </c:pt>
                <c:pt idx="10">
                  <c:v>0.7</c:v>
                </c:pt>
                <c:pt idx="11">
                  <c:v>0.7</c:v>
                </c:pt>
                <c:pt idx="12">
                  <c:v>0.7</c:v>
                </c:pt>
                <c:pt idx="13">
                  <c:v>0.7</c:v>
                </c:pt>
                <c:pt idx="14">
                  <c:v>0.7</c:v>
                </c:pt>
                <c:pt idx="15">
                  <c:v>0.7</c:v>
                </c:pt>
                <c:pt idx="16">
                  <c:v>0.7</c:v>
                </c:pt>
                <c:pt idx="17">
                  <c:v>0.7</c:v>
                </c:pt>
                <c:pt idx="18">
                  <c:v>0.7</c:v>
                </c:pt>
                <c:pt idx="19">
                  <c:v>0.7</c:v>
                </c:pt>
                <c:pt idx="20">
                  <c:v>0.7</c:v>
                </c:pt>
                <c:pt idx="21">
                  <c:v>0.7</c:v>
                </c:pt>
                <c:pt idx="22">
                  <c:v>0.7</c:v>
                </c:pt>
                <c:pt idx="23">
                  <c:v>0.7</c:v>
                </c:pt>
                <c:pt idx="24">
                  <c:v>0.7</c:v>
                </c:pt>
                <c:pt idx="25">
                  <c:v>0.7</c:v>
                </c:pt>
                <c:pt idx="26">
                  <c:v>0.7</c:v>
                </c:pt>
                <c:pt idx="27">
                  <c:v>0.7</c:v>
                </c:pt>
                <c:pt idx="28">
                  <c:v>0.7</c:v>
                </c:pt>
                <c:pt idx="29">
                  <c:v>0.7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01665236"/>
        <c:axId val="390642240"/>
      </c:scatterChart>
      <c:valAx>
        <c:axId val="8016652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90642240"/>
        <c:crosses val="autoZero"/>
        <c:crossBetween val="midCat"/>
      </c:valAx>
      <c:valAx>
        <c:axId val="390642240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0166523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课程目标</a:t>
            </a:r>
            <a:r>
              <a:rPr lang="en-US" altLang="zh-CN"/>
              <a:t>2</a:t>
            </a:r>
            <a:r>
              <a:rPr lang="zh-CN" altLang="en-US"/>
              <a:t>达成分布图（定量分析）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yVal>
            <c:numRef>
              <c:f>达成度计算!$L$22:$L$51</c:f>
              <c:numCache>
                <c:formatCode>0.00_ </c:formatCode>
                <c:ptCount val="30"/>
                <c:pt idx="0">
                  <c:v>0.8905</c:v>
                </c:pt>
                <c:pt idx="1">
                  <c:v>0.882</c:v>
                </c:pt>
                <c:pt idx="2">
                  <c:v>0.844</c:v>
                </c:pt>
                <c:pt idx="3">
                  <c:v>0.9</c:v>
                </c:pt>
                <c:pt idx="4">
                  <c:v>0.826</c:v>
                </c:pt>
                <c:pt idx="5">
                  <c:v>0.9185</c:v>
                </c:pt>
                <c:pt idx="6">
                  <c:v>0.809</c:v>
                </c:pt>
                <c:pt idx="7">
                  <c:v>0.8205</c:v>
                </c:pt>
                <c:pt idx="8">
                  <c:v>0.789</c:v>
                </c:pt>
                <c:pt idx="9">
                  <c:v>0.8025</c:v>
                </c:pt>
                <c:pt idx="10">
                  <c:v>0.83</c:v>
                </c:pt>
                <c:pt idx="11">
                  <c:v>0.811</c:v>
                </c:pt>
                <c:pt idx="12">
                  <c:v>0.8365</c:v>
                </c:pt>
                <c:pt idx="13">
                  <c:v>0.824</c:v>
                </c:pt>
                <c:pt idx="14">
                  <c:v>0.7925</c:v>
                </c:pt>
                <c:pt idx="15">
                  <c:v>0.8255</c:v>
                </c:pt>
                <c:pt idx="16">
                  <c:v>0.7425</c:v>
                </c:pt>
                <c:pt idx="17">
                  <c:v>0.894</c:v>
                </c:pt>
                <c:pt idx="18">
                  <c:v>0.9</c:v>
                </c:pt>
                <c:pt idx="19">
                  <c:v>0.896</c:v>
                </c:pt>
                <c:pt idx="20">
                  <c:v>0.918</c:v>
                </c:pt>
                <c:pt idx="21">
                  <c:v>0.9165</c:v>
                </c:pt>
                <c:pt idx="22">
                  <c:v>0.909</c:v>
                </c:pt>
                <c:pt idx="23">
                  <c:v>0</c:v>
                </c:pt>
                <c:pt idx="24">
                  <c:v>0.837</c:v>
                </c:pt>
                <c:pt idx="25">
                  <c:v>0.885</c:v>
                </c:pt>
                <c:pt idx="26">
                  <c:v>0.791</c:v>
                </c:pt>
                <c:pt idx="27">
                  <c:v>0.8615</c:v>
                </c:pt>
                <c:pt idx="28">
                  <c:v>0.7985</c:v>
                </c:pt>
                <c:pt idx="29">
                  <c:v>0.888</c:v>
                </c:pt>
              </c:numCache>
            </c:numRef>
          </c:yVal>
          <c:smooth val="0"/>
        </c:ser>
        <c:ser>
          <c:idx val="1"/>
          <c:order val="1"/>
          <c:spPr>
            <a:ln w="28575" cap="rnd" cmpd="sng">
              <a:solidFill>
                <a:schemeClr val="accent6">
                  <a:lumMod val="75000"/>
                </a:schemeClr>
              </a:solidFill>
              <a:prstDash val="solid"/>
              <a:round/>
            </a:ln>
            <a:effectLst>
              <a:outerShdw blurRad="50800" dist="50800" dir="5400000" sx="15000" sy="15000" algn="ctr" rotWithShape="0">
                <a:schemeClr val="bg1">
                  <a:alpha val="0"/>
                </a:schemeClr>
              </a:outerShdw>
            </a:effectLst>
          </c:spPr>
          <c:marker>
            <c:symbol val="circle"/>
            <c:size val="5"/>
            <c:spPr>
              <a:solidFill>
                <a:schemeClr val="accent6">
                  <a:lumMod val="75000"/>
                </a:schemeClr>
              </a:solidFill>
              <a:ln w="9525">
                <a:solidFill>
                  <a:schemeClr val="accent2"/>
                </a:solidFill>
              </a:ln>
              <a:effectLst>
                <a:outerShdw blurRad="50800" dist="50800" dir="5400000" sx="15000" sy="15000" algn="ctr" rotWithShape="0">
                  <a:schemeClr val="bg1">
                    <a:alpha val="0"/>
                  </a:schemeClr>
                </a:outerShdw>
              </a:effectLst>
            </c:spPr>
          </c:marker>
          <c:dLbls>
            <c:delete val="1"/>
          </c:dLbls>
          <c:yVal>
            <c:numRef>
              <c:f>达成度计算!$O$22:$O$51</c:f>
              <c:numCache>
                <c:formatCode>General</c:formatCode>
                <c:ptCount val="30"/>
                <c:pt idx="0">
                  <c:v>0.7</c:v>
                </c:pt>
                <c:pt idx="1">
                  <c:v>0.7</c:v>
                </c:pt>
                <c:pt idx="2">
                  <c:v>0.7</c:v>
                </c:pt>
                <c:pt idx="3">
                  <c:v>0.7</c:v>
                </c:pt>
                <c:pt idx="4">
                  <c:v>0.7</c:v>
                </c:pt>
                <c:pt idx="5">
                  <c:v>0.7</c:v>
                </c:pt>
                <c:pt idx="6">
                  <c:v>0.7</c:v>
                </c:pt>
                <c:pt idx="7">
                  <c:v>0.7</c:v>
                </c:pt>
                <c:pt idx="8">
                  <c:v>0.7</c:v>
                </c:pt>
                <c:pt idx="9">
                  <c:v>0.7</c:v>
                </c:pt>
                <c:pt idx="10">
                  <c:v>0.7</c:v>
                </c:pt>
                <c:pt idx="11">
                  <c:v>0.7</c:v>
                </c:pt>
                <c:pt idx="12">
                  <c:v>0.7</c:v>
                </c:pt>
                <c:pt idx="13">
                  <c:v>0.7</c:v>
                </c:pt>
                <c:pt idx="14">
                  <c:v>0.7</c:v>
                </c:pt>
                <c:pt idx="15">
                  <c:v>0.7</c:v>
                </c:pt>
                <c:pt idx="16">
                  <c:v>0.7</c:v>
                </c:pt>
                <c:pt idx="17">
                  <c:v>0.7</c:v>
                </c:pt>
                <c:pt idx="18">
                  <c:v>0.7</c:v>
                </c:pt>
                <c:pt idx="19">
                  <c:v>0.7</c:v>
                </c:pt>
                <c:pt idx="20">
                  <c:v>0.7</c:v>
                </c:pt>
                <c:pt idx="21">
                  <c:v>0.7</c:v>
                </c:pt>
                <c:pt idx="22">
                  <c:v>0.7</c:v>
                </c:pt>
                <c:pt idx="23">
                  <c:v>0.7</c:v>
                </c:pt>
                <c:pt idx="24">
                  <c:v>0.7</c:v>
                </c:pt>
                <c:pt idx="25">
                  <c:v>0.7</c:v>
                </c:pt>
                <c:pt idx="26">
                  <c:v>0.7</c:v>
                </c:pt>
                <c:pt idx="27">
                  <c:v>0.7</c:v>
                </c:pt>
                <c:pt idx="28">
                  <c:v>0.7</c:v>
                </c:pt>
                <c:pt idx="29">
                  <c:v>0.7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1048066"/>
        <c:axId val="40007918"/>
      </c:scatterChart>
      <c:valAx>
        <c:axId val="85104806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0007918"/>
        <c:crosses val="autoZero"/>
        <c:crossBetween val="midCat"/>
      </c:valAx>
      <c:valAx>
        <c:axId val="4000791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5104806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课程目标</a:t>
            </a:r>
            <a:r>
              <a:rPr lang="en-US" altLang="zh-CN"/>
              <a:t>3</a:t>
            </a:r>
            <a:r>
              <a:rPr lang="zh-CN" altLang="en-US"/>
              <a:t>达成分布图（定量分析）</a:t>
            </a:r>
            <a:endParaRPr lang="zh-CN" altLang="en-US"/>
          </a:p>
        </c:rich>
      </c:tx>
      <c:layout>
        <c:manualLayout>
          <c:xMode val="edge"/>
          <c:yMode val="edge"/>
          <c:x val="0.181188683510987"/>
          <c:y val="0.040420414909368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yVal>
            <c:numRef>
              <c:f>达成度计算!$M$22:$M$51</c:f>
              <c:numCache>
                <c:formatCode>0.00_ </c:formatCode>
                <c:ptCount val="30"/>
                <c:pt idx="0">
                  <c:v>0.9015</c:v>
                </c:pt>
                <c:pt idx="1">
                  <c:v>0.896</c:v>
                </c:pt>
                <c:pt idx="2">
                  <c:v>0.864</c:v>
                </c:pt>
                <c:pt idx="3">
                  <c:v>0.91</c:v>
                </c:pt>
                <c:pt idx="4">
                  <c:v>0.836</c:v>
                </c:pt>
                <c:pt idx="5">
                  <c:v>0.931</c:v>
                </c:pt>
                <c:pt idx="6">
                  <c:v>0.801</c:v>
                </c:pt>
                <c:pt idx="7">
                  <c:v>0.816</c:v>
                </c:pt>
                <c:pt idx="8">
                  <c:v>0.808</c:v>
                </c:pt>
                <c:pt idx="9">
                  <c:v>0.799</c:v>
                </c:pt>
                <c:pt idx="10">
                  <c:v>0.8365</c:v>
                </c:pt>
                <c:pt idx="11">
                  <c:v>0.8385</c:v>
                </c:pt>
                <c:pt idx="12">
                  <c:v>0.8495</c:v>
                </c:pt>
                <c:pt idx="13">
                  <c:v>0.795</c:v>
                </c:pt>
                <c:pt idx="14">
                  <c:v>0.8025</c:v>
                </c:pt>
                <c:pt idx="15">
                  <c:v>0.8335</c:v>
                </c:pt>
                <c:pt idx="16">
                  <c:v>0.7475</c:v>
                </c:pt>
                <c:pt idx="17">
                  <c:v>0.905</c:v>
                </c:pt>
                <c:pt idx="18">
                  <c:v>0.9</c:v>
                </c:pt>
                <c:pt idx="19">
                  <c:v>0.891</c:v>
                </c:pt>
                <c:pt idx="20">
                  <c:v>0.9555</c:v>
                </c:pt>
                <c:pt idx="21">
                  <c:v>0.939</c:v>
                </c:pt>
                <c:pt idx="22">
                  <c:v>0.944</c:v>
                </c:pt>
                <c:pt idx="23">
                  <c:v>0</c:v>
                </c:pt>
                <c:pt idx="24">
                  <c:v>0.8715</c:v>
                </c:pt>
                <c:pt idx="25">
                  <c:v>0.91</c:v>
                </c:pt>
                <c:pt idx="26">
                  <c:v>0.8105</c:v>
                </c:pt>
                <c:pt idx="27">
                  <c:v>0.892</c:v>
                </c:pt>
                <c:pt idx="28">
                  <c:v>0.8395</c:v>
                </c:pt>
                <c:pt idx="29">
                  <c:v>0.906</c:v>
                </c:pt>
              </c:numCache>
            </c:numRef>
          </c:yVal>
          <c:smooth val="0"/>
        </c:ser>
        <c:ser>
          <c:idx val="1"/>
          <c:order val="1"/>
          <c:spPr>
            <a:ln w="28575" cap="rnd" cmpd="sng">
              <a:solidFill>
                <a:schemeClr val="accent6">
                  <a:lumMod val="75000"/>
                </a:schemeClr>
              </a:solidFill>
              <a:prstDash val="solid"/>
              <a:round/>
            </a:ln>
            <a:effectLst>
              <a:outerShdw blurRad="50800" dist="50800" dir="5400000" algn="ctr" rotWithShape="0">
                <a:srgbClr val="000000">
                  <a:alpha val="0"/>
                </a:srgbClr>
              </a:outerShdw>
            </a:effectLst>
          </c:spPr>
          <c:marker>
            <c:symbol val="circle"/>
            <c:size val="5"/>
            <c:spPr>
              <a:solidFill>
                <a:schemeClr val="accent6">
                  <a:lumMod val="75000"/>
                </a:schemeClr>
              </a:solidFill>
              <a:ln w="9525">
                <a:solidFill>
                  <a:schemeClr val="accent2"/>
                </a:solidFill>
              </a:ln>
              <a:effectLst>
                <a:outerShdw blurRad="50800" dist="50800" dir="5400000" algn="ctr" rotWithShape="0">
                  <a:srgbClr val="000000">
                    <a:alpha val="0"/>
                  </a:srgbClr>
                </a:outerShdw>
              </a:effectLst>
            </c:spPr>
          </c:marker>
          <c:dLbls>
            <c:delete val="1"/>
          </c:dLbls>
          <c:yVal>
            <c:numRef>
              <c:f>达成度计算!$O$22:$O$51</c:f>
              <c:numCache>
                <c:formatCode>General</c:formatCode>
                <c:ptCount val="30"/>
                <c:pt idx="0">
                  <c:v>0.7</c:v>
                </c:pt>
                <c:pt idx="1">
                  <c:v>0.7</c:v>
                </c:pt>
                <c:pt idx="2">
                  <c:v>0.7</c:v>
                </c:pt>
                <c:pt idx="3">
                  <c:v>0.7</c:v>
                </c:pt>
                <c:pt idx="4">
                  <c:v>0.7</c:v>
                </c:pt>
                <c:pt idx="5">
                  <c:v>0.7</c:v>
                </c:pt>
                <c:pt idx="6">
                  <c:v>0.7</c:v>
                </c:pt>
                <c:pt idx="7">
                  <c:v>0.7</c:v>
                </c:pt>
                <c:pt idx="8">
                  <c:v>0.7</c:v>
                </c:pt>
                <c:pt idx="9">
                  <c:v>0.7</c:v>
                </c:pt>
                <c:pt idx="10">
                  <c:v>0.7</c:v>
                </c:pt>
                <c:pt idx="11">
                  <c:v>0.7</c:v>
                </c:pt>
                <c:pt idx="12">
                  <c:v>0.7</c:v>
                </c:pt>
                <c:pt idx="13">
                  <c:v>0.7</c:v>
                </c:pt>
                <c:pt idx="14">
                  <c:v>0.7</c:v>
                </c:pt>
                <c:pt idx="15">
                  <c:v>0.7</c:v>
                </c:pt>
                <c:pt idx="16">
                  <c:v>0.7</c:v>
                </c:pt>
                <c:pt idx="17">
                  <c:v>0.7</c:v>
                </c:pt>
                <c:pt idx="18">
                  <c:v>0.7</c:v>
                </c:pt>
                <c:pt idx="19">
                  <c:v>0.7</c:v>
                </c:pt>
                <c:pt idx="20">
                  <c:v>0.7</c:v>
                </c:pt>
                <c:pt idx="21">
                  <c:v>0.7</c:v>
                </c:pt>
                <c:pt idx="22">
                  <c:v>0.7</c:v>
                </c:pt>
                <c:pt idx="23">
                  <c:v>0.7</c:v>
                </c:pt>
                <c:pt idx="24">
                  <c:v>0.7</c:v>
                </c:pt>
                <c:pt idx="25">
                  <c:v>0.7</c:v>
                </c:pt>
                <c:pt idx="26">
                  <c:v>0.7</c:v>
                </c:pt>
                <c:pt idx="27">
                  <c:v>0.7</c:v>
                </c:pt>
                <c:pt idx="28">
                  <c:v>0.7</c:v>
                </c:pt>
                <c:pt idx="29">
                  <c:v>0.7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4066841"/>
        <c:axId val="52730968"/>
      </c:scatterChart>
      <c:valAx>
        <c:axId val="47406684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2730968"/>
        <c:crosses val="autoZero"/>
        <c:crossBetween val="midCat"/>
      </c:valAx>
      <c:valAx>
        <c:axId val="5273096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7406684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课程目标</a:t>
            </a:r>
            <a:r>
              <a:rPr lang="en-US" altLang="zh-CN"/>
              <a:t>4</a:t>
            </a:r>
            <a:r>
              <a:rPr lang="zh-CN" altLang="en-US"/>
              <a:t>达成分布图（定量分析）</a:t>
            </a:r>
            <a:endParaRPr lang="zh-CN" altLang="en-US"/>
          </a:p>
        </c:rich>
      </c:tx>
      <c:layout>
        <c:manualLayout>
          <c:xMode val="edge"/>
          <c:yMode val="edge"/>
          <c:x val="0.183347053941312"/>
          <c:y val="0.0439276485788114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yVal>
            <c:numRef>
              <c:f>达成度计算!$N$22:$N$51</c:f>
              <c:numCache>
                <c:formatCode>0.00_ </c:formatCode>
                <c:ptCount val="30"/>
                <c:pt idx="0">
                  <c:v>0.8965</c:v>
                </c:pt>
                <c:pt idx="1">
                  <c:v>0.889333333333333</c:v>
                </c:pt>
                <c:pt idx="2">
                  <c:v>0.854</c:v>
                </c:pt>
                <c:pt idx="3">
                  <c:v>0.905833333333333</c:v>
                </c:pt>
                <c:pt idx="4">
                  <c:v>0.844333333333333</c:v>
                </c:pt>
                <c:pt idx="5">
                  <c:v>0.931833333333334</c:v>
                </c:pt>
                <c:pt idx="6">
                  <c:v>0.804333333333333</c:v>
                </c:pt>
                <c:pt idx="7">
                  <c:v>0.819333333333333</c:v>
                </c:pt>
                <c:pt idx="8">
                  <c:v>0.803</c:v>
                </c:pt>
                <c:pt idx="9">
                  <c:v>0.803166666666667</c:v>
                </c:pt>
                <c:pt idx="10">
                  <c:v>0.829833333333333</c:v>
                </c:pt>
                <c:pt idx="11">
                  <c:v>0.835166666666667</c:v>
                </c:pt>
                <c:pt idx="12">
                  <c:v>0.857833333333333</c:v>
                </c:pt>
                <c:pt idx="13">
                  <c:v>0.803333333333333</c:v>
                </c:pt>
                <c:pt idx="14">
                  <c:v>0.8</c:v>
                </c:pt>
                <c:pt idx="15">
                  <c:v>0.829333333333333</c:v>
                </c:pt>
                <c:pt idx="16">
                  <c:v>0.76</c:v>
                </c:pt>
                <c:pt idx="17">
                  <c:v>0.904166666666667</c:v>
                </c:pt>
                <c:pt idx="18">
                  <c:v>0.903333333333333</c:v>
                </c:pt>
                <c:pt idx="19">
                  <c:v>0.894333333333333</c:v>
                </c:pt>
                <c:pt idx="20">
                  <c:v>0.947166666666667</c:v>
                </c:pt>
                <c:pt idx="21">
                  <c:v>0.930666666666667</c:v>
                </c:pt>
                <c:pt idx="22">
                  <c:v>0.935666666666667</c:v>
                </c:pt>
                <c:pt idx="23">
                  <c:v>0</c:v>
                </c:pt>
                <c:pt idx="24">
                  <c:v>0.864</c:v>
                </c:pt>
                <c:pt idx="25">
                  <c:v>0.905833333333333</c:v>
                </c:pt>
                <c:pt idx="26">
                  <c:v>0.808833333333333</c:v>
                </c:pt>
                <c:pt idx="27">
                  <c:v>0.887</c:v>
                </c:pt>
                <c:pt idx="28">
                  <c:v>0.825333333333333</c:v>
                </c:pt>
                <c:pt idx="29">
                  <c:v>0.900166666666667</c:v>
                </c:pt>
              </c:numCache>
            </c:numRef>
          </c:yVal>
          <c:smooth val="0"/>
        </c:ser>
        <c:ser>
          <c:idx val="1"/>
          <c:order val="1"/>
          <c:spPr>
            <a:ln w="28575" cap="rnd" cmpd="sng">
              <a:solidFill>
                <a:schemeClr val="accent6">
                  <a:lumMod val="75000"/>
                </a:schemeClr>
              </a:solidFill>
              <a:prstDash val="solid"/>
              <a:round/>
            </a:ln>
            <a:effectLst>
              <a:outerShdw blurRad="50800" dist="50800" dir="5400000" algn="ctr" rotWithShape="0">
                <a:srgbClr val="000000">
                  <a:alpha val="0"/>
                </a:srgbClr>
              </a:outerShdw>
            </a:effectLst>
          </c:spPr>
          <c:marker>
            <c:symbol val="circle"/>
            <c:size val="5"/>
            <c:spPr>
              <a:solidFill>
                <a:schemeClr val="accent6">
                  <a:lumMod val="75000"/>
                </a:schemeClr>
              </a:solidFill>
              <a:ln w="9525">
                <a:solidFill>
                  <a:schemeClr val="accent2"/>
                </a:solidFill>
              </a:ln>
              <a:effectLst>
                <a:outerShdw blurRad="50800" dist="50800" dir="5400000" algn="ctr" rotWithShape="0">
                  <a:srgbClr val="000000">
                    <a:alpha val="0"/>
                  </a:srgbClr>
                </a:outerShdw>
              </a:effectLst>
            </c:spPr>
          </c:marker>
          <c:dLbls>
            <c:delete val="1"/>
          </c:dLbls>
          <c:yVal>
            <c:numRef>
              <c:f>达成度计算!$O$22:$O$51</c:f>
              <c:numCache>
                <c:formatCode>General</c:formatCode>
                <c:ptCount val="30"/>
                <c:pt idx="0">
                  <c:v>0.7</c:v>
                </c:pt>
                <c:pt idx="1">
                  <c:v>0.7</c:v>
                </c:pt>
                <c:pt idx="2">
                  <c:v>0.7</c:v>
                </c:pt>
                <c:pt idx="3">
                  <c:v>0.7</c:v>
                </c:pt>
                <c:pt idx="4">
                  <c:v>0.7</c:v>
                </c:pt>
                <c:pt idx="5">
                  <c:v>0.7</c:v>
                </c:pt>
                <c:pt idx="6">
                  <c:v>0.7</c:v>
                </c:pt>
                <c:pt idx="7">
                  <c:v>0.7</c:v>
                </c:pt>
                <c:pt idx="8">
                  <c:v>0.7</c:v>
                </c:pt>
                <c:pt idx="9">
                  <c:v>0.7</c:v>
                </c:pt>
                <c:pt idx="10">
                  <c:v>0.7</c:v>
                </c:pt>
                <c:pt idx="11">
                  <c:v>0.7</c:v>
                </c:pt>
                <c:pt idx="12">
                  <c:v>0.7</c:v>
                </c:pt>
                <c:pt idx="13">
                  <c:v>0.7</c:v>
                </c:pt>
                <c:pt idx="14">
                  <c:v>0.7</c:v>
                </c:pt>
                <c:pt idx="15">
                  <c:v>0.7</c:v>
                </c:pt>
                <c:pt idx="16">
                  <c:v>0.7</c:v>
                </c:pt>
                <c:pt idx="17">
                  <c:v>0.7</c:v>
                </c:pt>
                <c:pt idx="18">
                  <c:v>0.7</c:v>
                </c:pt>
                <c:pt idx="19">
                  <c:v>0.7</c:v>
                </c:pt>
                <c:pt idx="20">
                  <c:v>0.7</c:v>
                </c:pt>
                <c:pt idx="21">
                  <c:v>0.7</c:v>
                </c:pt>
                <c:pt idx="22">
                  <c:v>0.7</c:v>
                </c:pt>
                <c:pt idx="23">
                  <c:v>0.7</c:v>
                </c:pt>
                <c:pt idx="24">
                  <c:v>0.7</c:v>
                </c:pt>
                <c:pt idx="25">
                  <c:v>0.7</c:v>
                </c:pt>
                <c:pt idx="26">
                  <c:v>0.7</c:v>
                </c:pt>
                <c:pt idx="27">
                  <c:v>0.7</c:v>
                </c:pt>
                <c:pt idx="28">
                  <c:v>0.7</c:v>
                </c:pt>
                <c:pt idx="29">
                  <c:v>0.7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4066841"/>
        <c:axId val="52730968"/>
      </c:scatterChart>
      <c:valAx>
        <c:axId val="47406684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2730968"/>
        <c:crosses val="autoZero"/>
        <c:crossBetween val="midCat"/>
      </c:valAx>
      <c:valAx>
        <c:axId val="5273096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7406684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362</Words>
  <Characters>2068</Characters>
  <Lines>17</Lines>
  <Paragraphs>4</Paragraphs>
  <TotalTime>0</TotalTime>
  <ScaleCrop>false</ScaleCrop>
  <LinksUpToDate>false</LinksUpToDate>
  <CharactersWithSpaces>2426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2022-03-26T00:05:00Z</dcterms:created>
  <dc:creator>Ming Yan</dc:creator>
  <cp:lastModifiedBy>Xxxin</cp:lastModifiedBy>
  <dcterms:modified xsi:type="dcterms:W3CDTF">2024-03-18T07:30:04Z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F5C398C5009F445298928017CA995AB9_13</vt:lpwstr>
  </property>
</Properties>
</file>